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503 vom 11. November 1992</w:t>
      </w:r>
    </w:p>
    <w:p>
      <w:r>
        <w:t>Bundesgericht (BGE), 1992-11-11, DE</w:t>
      </w:r>
    </w:p>
    <w:p>
      <w:r>
        <w:rPr>
          <w:b/>
        </w:rPr>
        <w:t xml:space="preserve">Quelle: </w:t>
      </w:r>
      <w:r>
        <w:t>https://mcp.opencaselaw.ch/entscheid/bge_118 IB 503</w:t>
      </w:r>
    </w:p>
    <w:p>
      <w:r>
        <w:t>FR: BGE 118 IB 503 du 11 novembre 1992</w:t>
      </w:r>
    </w:p>
    <w:p>
      <w:r>
        <w:t>IT: BGE 118 IB 503 del 11 novembre 1992</w:t>
      </w:r>
    </w:p>
    <w:p>
      <w:pPr>
        <w:pStyle w:val="Heading2"/>
      </w:pPr>
      <w:r>
        <w:t>Regeste</w:t>
      </w:r>
    </w:p>
    <w:p>
      <w:r>
        <w:t>Regeste Werkplan für Strandbad und Seeuferweg in der Freihaltezone. Rüge der Umgehung von Art. 24 RPG: Soweit in einer Freihaltezone Bauten und Anlagen erstellt werden sollen, die dem Zonenzweck entsprechen, können diese gestützt auf Art. 22 RPG beurteilt werden. Art. 24 RPG kommt in solchen Fällen nicht zum Zuge (E. 5c, d). Zum Verhältnis Richtplan-Nutzungsplan: Die behördenverbindlichen Anordnungen in Richtplänen müssen nicht der Präzision der Nutzungspläne entsprechen. Der Behörde, die den späteren Nutzungsplan erlässt, steht ein Ermessensspielraum zu (E. 6b/cc).</w:t>
      </w:r>
    </w:p>
    <w:p>
      <w:pPr>
        <w:pStyle w:val="Heading2"/>
      </w:pPr>
      <w:r>
        <w:t>Erwägungen</w:t>
      </w:r>
    </w:p>
    <w:p>
      <w:r>
        <w:rPr>
          <w:b/>
        </w:rPr>
        <w:t>E. 5</w:t>
      </w:r>
    </w:p>
    <w:p>
      <w:r>
        <w:t>Für die Beurteilung der Rüge, mit dem angefochtenen Entscheid werde in einer das Bundesrecht verletzenden Weise Art. 24 RPG umgangen, ist von dem die Art. 22-24 RPG ausführenden kantonalen Recht auszugehen. a) Die Liegenschaften der Beschwerdeführerinnen befinden sich nach dem Zonenplan der Gemeinde Thalwil in der kommunalen Freihaltezone im Sinne der §§ 61 ff. i.V.m. § § 39 ff. PBG . Gemäss § 61 PBG (in der Fassung vom 1. September 1991) sind als Freihaltezonen oder Erholungszonen die Flächen auszuscheiden, die für die Erholung der Bevölkerung nötig sind. In der Erholungszone sind gemäss § 62 Abs. 2 PBG nur die den Vorgaben der Richtplanung entsprechenden Bauten und Anlagen zulässig. Hinsichtlich Inhalt und Verfahren gelten für Bauten und Anlagen, für die Rechte der Grundeigentümer und für das Zugrecht der Gemeinden die gleichen Bestimmungen wie bei übergeordneten Freihaltezonen ( § 62 Abs. 1 PBG ). § 40 PBG stellt klar, dass nur solche oberirdische Bauten und Anlagen erstellt werden dürfen, die der Bewirtschaftung oder unmittelbaren Bewerbung der Freiflächen dienen und die den Zonenzweck nicht schmälern. Für andere Bauten und Anlagen gilt Art. 24 RPG ( § 40 PBG ). BGE 118 Ib 503 S. 506 b) Aus dieser gesetzlichen Regelung ergibt sich klar, dass die Freihaltezone zwischen der Seestrasse und dem Ufer des Zürichsees in Thalwil Teil des Nutzungsplans der Gemeinde bildet, der die zulässige Nutzung des Bodens innerhalb des Siedlungsgebiets regelt. Es handelt sich um eine Freihaltezone, welche die Bauzonen vom Seeufer trennt, und die der Erholung der Bevölkerung sowie dem Landschaftsschutz dient. Sie entspricht damit den Zielen und Grundsätzen des Raumplanungsrechts des Bundes, namentlich den Bestrebungen, mit Massnahmen der Raumplanung wohnliche Siedlungen zu schaffen und zu erhalten und die natürlichen Lebensgrundlagen wie Wasser und Landschaft zu schützen ( Art. 1 Abs. 2 lit. a und b RPG ). Im Dienste dieses Ziels sollen mit Massnahmen der Raumplanung See- und Flussufer freigehalten und der öffentliche Zugang und die Begehung erleichtert werden. Auch sollen Siedlungen viele Grünflächen und Bäume enthalten. Für die öffentlichen oder im öffentlichen Interesse liegenden Bauten und Anlagen sind sodann sachgerechte Standorte zu bestimmen. Insbesondere sollen Freizeitanlagen für die Bevölkerung gut erreichbar sein (Art. 3 Abs. 2 lit. c, Abs. 3 lit. e und Abs. 4 lit. b RPG). In Erfüllung der Planungspflicht ( Art. 2 RPG ) sind die dargelegten Ziele und Grundsätze des Bundesrechts in einer für jedermann verbindlichen Weise in erster Linie mit Nutzungsplänen gemäss den Art. 14 ff. RPG zu verwirklichen. Die bundesrechtlichen Mindestanforderungen bedürfen dabei notwendigerweise kantonaler Ausgestaltung und Ergänzung (EJPD/BRP, Erläuterungen RPG, N. 1 zu Art. 18 RPG ; W. HALLER/P. KARLEN, Raumplanungs- und Baurecht, 2. Aufl., Zürich 1992, S. 58 f.). Die Regelung des Zürcher Planungs- und Baugesetzes fügt sich in die bundesrechtliche Ordnung ein. Die Freihaltezonen erfüllen teils die Funktion der Schutzzonen gemäss Art. 17 RPG , sollen diese doch u.a. Seen und ihre Ufer umfassen ( Art. 17 Abs. 1 lit. a RPG ). Zum Teil handelt es sich um Zonen für öffentliche Bauten und Anlagen, die der Erholung der Bevölkerung dienen, wie für Sportanlagen und die damit in Verbindung stehenden Parkplätze. Solche Spezialzonen für bestimmte öffentliche Zwecke kann das kantonale Recht gemäss Art. 18 Abs. 1 RPG vorsehen (LEO SCHÜRMANN, Bau- und Planungsrecht, 2. Aufl., Bern 1984, S. 176; HALLER/KARLEN, a.a.O., S. 72 f.). c) Es ergibt sich aus der dargelegten bundesrechtlichen Ordnung, dass für die Bewilligung von Bauten und Anlagen, die dem Zweck der Nutzungszone entsprechen, nicht Art. 24 RPG , sondern Art. 22 RPG gilt. Auch wenn die Marginalie von Art. 24 von Ausnahmen BGE 118 Ib 503 S. 507 ausserhalb der Bauzonen spricht, ist hieraus nicht zu folgern, dass diese Bestimmung auf zonenkonforme Bauten und Anlagen in Spezialzonen ( Art. 18 Abs. 1 RPG ) anwendbar ist ( BGE 118 Ia 448 ff., BGE 116 Ib 378 E. 2a, BGE 114 Ib 349 E. 3b). In der hier zur Diskussion stehenden Freihaltezone sind nur bestimmte Bauten und Anlagen für öffentliche Zwecke zulässig, die der Erholung der Bevölkerung und der Wohnlichkeit der Siedlungen dienen. § 40 PBG sieht die Anwendbarkeit von Art. 24 RPG in den Freihaltezonen für solche Bauten und Anlagen vor, die dem Zonenzweck nicht entsprechen. Die Freihaltezonen des Zürcher Rechts sind nicht nur Schutzzonen und Spezialzonen innerhalb des Baugebiets. Sie umfassen vielmehr auch Zonen, die ausserhalb des Baugebiets der Erholung der Bevölkerung, dem Natur- und Landschaftsschutz oder der Trennung und Gliederung des Siedlungsgebiets dienen (HALLER/KARLEN, a.a.O., S. 72 N. 297). Dass in diesem Fall für Bauten und Anlagen, die dem Zonenzweck nicht entsprechen, Art. 24 RPG zum Zuge kommt, ergibt sich bereits direkt aus dem Bundesrecht. d) Die Einwendung der Beschwerdeführerinnen, in der Freihaltezone sei für die Verlegung der Hafenanlage und die Strandbaderweiterung ein Bewilligungsverfahren nach Art. 24 RPG erforderlich, ist somit unbegründet. Die genannten Anlagen entsprechen dem Zweck der Freihaltezone als Spezialzone im Sinne von Art. 18 Abs. 1 RPG . Es handelt sich um Bauten und Anlagen, die im öffentlichen Interesse der Erholung der Bevölkerung und somit unmittelbar der Bewirtschaftung und Bewerbung der Freifläche dienen ( § 40 Abs. 1 PBG ). Bewilligungen nach kantonalem Recht gestützt auf Art. 22 RPG sind insoweit zulässig. Dementsprechend ist die Gemeinde als Bauherrschaft und Trägerin des Werks grundsätzlich auch berechtigt, gestützt auf die §§ 114 ff., PBG einen Werkplan festzusetzen.</w:t>
      </w:r>
    </w:p>
    <w:p>
      <w:r>
        <w:rPr>
          <w:b/>
        </w:rPr>
        <w:t>E. 6</w:t>
      </w:r>
    </w:p>
    <w:p>
      <w:r>
        <w:t>Ob im einzelnen die gesetzliche Grundlage für den Werkplan gegeben ist und ob das öffentliche Interesse die entgegenstehenden privaten Interessen überwiegt und das Verhältnismässigkeitsprinzip gewahrt ist, ist nachfolgend zu prüfen. Aufgrund der vom Raumplanungsgesetz des Bundes getroffenen Rechtsmittelordnung sind diese Fragen im staatsrechtlichen Beschwerdeverfahren zu beurteilen ( Art. 34 Abs. 3 RPG ). a) Der Werkplan dient nach dem Titel der § § 114 ff. PBG der Landsicherung für öffentliche Werke. Seine Genehmigung schliesst die Erteilung des Enteignungsrechts ein ( § 116 PBG ) und bewirkt im vorliegenden Fall einen schweren Eigentumseingriff. Das Bundesgericht BGE 118 Ib 503 S. 508 prüft in diesem Fall frei, ob eine genügende gesetzliche Grundlage für den Eigentumseingriff besteht; die gesetzliche Grundlage muss klar und eindeutig sein ( BGE 116 Ia 185 E. 3c mit Hinweisen). Die Beschwerdeführerinnen machen geltend, § 114 PBG sei deshalb keine genügende gesetzliche Grundlage, weil die geplante Erweiterung des Strandbads und die damit verbundene Verlegung des Bootshafens im Richtplan nicht an den im Werkplan vorgesehenen Stellen bezeichnet seien. Der Regierungsrat und die Gemeinde Thalwil sind demgegenüber der Auffassung, § 114 PBG sei eine klare und eindeutige gesetzliche Grundlage für die Festsetzung des Werkplans. b) § 114 Abs. 2 PBG ermächtigt den Träger des Werks, jederzeit den Werkplan zu erstellen. Voraussetzung ist, dass die betroffenen Grundstücke nach einem Richtplan für ein Werk oder eine Anlage im öffentlichen Interesse vorgesehen sind und dass die Landsicherung nicht durch Baulinien erfolgen kann ( § 114 Abs. 1 PBG ). Die zuletzt genannte Voraussetzung ist unbestrittenermassen für die Erweiterung der Badeanlage und die damit verbundene Verlegung des Bootshafens erfüllt, nach der Meinung der Beschwerdeführerinnen jedoch nicht für den vom Kanton geplanten öffentlichen Seeuferweg, dessen Verlauf im Bereich der Badeanlagen in den Werkplan einbezogen wurde. Die Sicherung des Landes für den Fussweg hat nach der Meinung der Beschwerdeführerinnen gemäss den § § 96 ff. PBG mit Bau- und Niveaulinien zu erfolgen. aa) Es trifft zu, dass gemäss § 96 Abs. 2 lit. a PBG das für Wege benötigte Areal grundsätzlich mit Verkehrsbaulinien zu sichern ist. Doch übersehen die Beschwerdeführerinnen, dass der Uferweg für Fussgänger im Verhältnis zu den Boots- und Badeanlagen eine untergeordnete Bedeutung aufweist. Auch ist er unbestrittenermassen eine Anlage im öffentlichen Interesse, die dem Erholungszweck der Freihaltezone entspricht. Ihn in den Werkplan einzubeziehen, liegt daher nahe und widerspricht der gesetzlichen Regelung nicht, sondern ist im Interesse der Abstimmung raumwirksamer Tätigkeiten geradezu geboten ( Art. 2 Abs. 1 RPG , Art. 2 der Verordnung über die Raumplanung vom 2. Oktober 1989, RPV, SR 700.1). Dass ein Fussweg, soweit er nicht mit grösseren öffentlichen Anlagen in Verbindung steht, mit Baulinien zu sichern ist, schliesst nicht aus, dass er in den Werkplan für diese Anlagen aufgenommen wird, und zwar auch dann, wenn er im Auftrag des Kantons erstellt wird. Gemäss § 115 PBG wird der Werkplan vom Träger des Werks, bei Ungewissheit über die BGE 118 Ib 503 S. 509 Trägerschaft vom Ersteller des betreffenden Richtplans festgesetzt. Zufolge des Vorrangs der Bade- und Hafenanlagen, für welche die Gemeinde Trägerin des Werks ist, durfte sie als Erstellerin des kommunalen Siedlungs- und Landschaftsplans vom Mai 1982, in welchem die Freihaltezone als besonderes Erholungsgebiet bezeichnet ist, ohne Gesetzesverletzung den Fussweg in den Werkplan aufnehmen. Aus diesem Vorgehen erwächst den Beschwerdeführerinnen kein Nachteil. Die Einwendung, der Einbezug des Fusswegs in den Werkplan vermöge sich nicht auf eine eindeutige gesetzliche Grundlage zu stützen, ist demnach als unbegründet abzuweisen. bb) Die Beschwerdeführerinnen sind der Meinung, der Werkplan vermöge sich nicht auf eine genügende richtplanerische Anordnung zu stützen. Die Gemeinde wendet ein, ob dies zutreffe, sei vom Bundesgericht nur unter dem Blickwinkel der Willkür zu prüfen. Dieser Auffassung kann nicht zugestimmt werden. Da ein schwerer Eingriff in das Eigentum in Frage steht und § 114 PBG klar verlangt, dass die vom Werkplan betroffenen Grundstücke nach einem Richtplan für das Werk vorgesehen sein müssen, ist ohne Kognitionsbeschränkung umfassend zu prüfen, ob die vom Gesetz verlangte Grundlage des Richtplans besteht. Wäre die Frage nur unter dem Gesichtswinkel der Willkür zu prüfen, so käme dies einer dem Sinn der bundesgerichtlichen Rechtsprechung nicht entsprechenden Abschwächung der Forderung nach einer klaren und eindeutigen gesetzlichen Grundlage für schwere Eigentumseingriffe gleich. cc) Für die umfassende freie Prüfung ist von der im Bundesrecht vorgezeichneten Funktion der Richtpläne auszugehen. Die Richtpläne sollen in den Grundzügen aufzeigen, wie sich das von ihnen erfasste Gebiet räumlich entwickeln soll ( Art. 6 RPG ). Auch wenn das Zürcher Planungs- und Baugesetz in weitergehendem Masse, als dies das Bundesrecht erfordert, davon ausgeht, dass die Richtpläne die Nutzungsplanung vorbestimmen ( BGE 112 Ia 283 E. 3c), so heisst dies nicht, dass in den Richtplänen die behördeverbindlichen Anordnungen in der Präzision der Nutzungspläne getroffen werden müssen. Dies geht auch aus der Formulierung des Zürcher Planungs- und Baugesetzes hervor. Es umschreibt die Aufgabe der Richtplanung mit Gestaltungsgrundsätzen, die den Behörden bei der Ausarbeitung der Nutzungsplanung den notwendigen Ermessensspielraum belassen. Der Ermessensspielraum, welcher den Behörden bei der Erfüllung ihrer der Richtplanung nachgeordneten Nutzungsplanungspflicht zustehen muss, ergibt sich auch aus Art. 2 Abs. 3 RPG . BGE 118 Ib 503 S. 510 Im Lichte dieser bundesrechtlich vorgegebenen Grundsätze ist die Einwendung der Beschwerdeführerinnen als unbegründet zu bezeichnen. Massgebend ist, dass gemäss dem kommunalen Siedlungs- und Landschaftsplan die Grundstücke der Beschwerdeführerinnen in einem Erholungsgebiet liegen. Dabei kennzeichnet der Plan dieses Gebiet mit den Buchstaben B und C als besonderes Erholungsgebiet. B weist gemäss der Planlegende auf "Festplatz, Parkplatz" hin, C auf "Sportanlage"; diese Kennzeichnung kann auf den gesamten Abschnitt zwischen der Seestrasse und dem Seeufer im Bereich der Grundstücke der Beschwerdeführerinnen bezogen werden. Die präzise Festsetzung der Standorte für Sportanlagen und Parkplätze erfolgt in der Nutzungsplanung. Der Gemeinderat durfte daher ohne Gesetzesverletzung die im Werkplan nun vorgesehenen Standorte für die Erweiterung der Badeanlage und die Verlegung des Bootshafens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